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EC" w:rsidRDefault="001D54EC">
      <w:pPr>
        <w:pStyle w:val="a5"/>
        <w:widowControl/>
        <w:spacing w:beforeAutospacing="0" w:afterAutospacing="0" w:line="55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234F90" w:rsidRDefault="00234F90">
      <w:pPr>
        <w:pStyle w:val="a5"/>
        <w:widowControl/>
        <w:spacing w:beforeAutospacing="0" w:afterAutospacing="0" w:line="555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234F90" w:rsidRDefault="00234F90">
      <w:pPr>
        <w:pStyle w:val="a5"/>
        <w:widowControl/>
        <w:spacing w:beforeAutospacing="0" w:afterAutospacing="0" w:line="55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1D54EC" w:rsidRDefault="00E4169C">
      <w:pPr>
        <w:pStyle w:val="a5"/>
        <w:widowControl/>
        <w:spacing w:beforeAutospacing="0" w:afterAutospacing="0" w:line="55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关于开展2017“山东省商界年度人物”“山东省十佳商业品牌”推选活动的通知</w:t>
      </w:r>
    </w:p>
    <w:p w:rsidR="001D54EC" w:rsidRDefault="001D54EC">
      <w:pPr>
        <w:pStyle w:val="a5"/>
        <w:widowControl/>
        <w:spacing w:beforeAutospacing="0" w:afterAutospacing="0" w:line="555" w:lineRule="atLeas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1D54EC" w:rsidRDefault="00E4169C">
      <w:pPr>
        <w:pStyle w:val="a5"/>
        <w:widowControl/>
        <w:spacing w:beforeAutospacing="0" w:afterAutospacing="0" w:line="555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各市商务主管部门、各市商业联合会（行业协会）及有关企业：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山东省商会将于近期开展“2017山东省商界年度人物”和“2017山东省十佳商业品牌”推选活动，现将活动有关内容通知如下：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3E3E3E"/>
          <w:sz w:val="32"/>
          <w:szCs w:val="32"/>
        </w:rPr>
        <w:t>一、活动宗旨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0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为深入贯彻党的十八届六中全会精神和贯彻落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实习近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平同志系列重要讲话精神，把改革创新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贯穿于扩内需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、促消费和深</w:t>
      </w:r>
    </w:p>
    <w:p w:rsidR="001D54EC" w:rsidRDefault="00E4169C">
      <w:pPr>
        <w:pStyle w:val="a5"/>
        <w:widowControl/>
        <w:spacing w:beforeAutospacing="0" w:afterAutospacing="0" w:line="555" w:lineRule="atLeast"/>
        <w:rPr>
          <w:rFonts w:ascii="仿宋_GB2312" w:eastAsia="仿宋_GB2312" w:hAnsi="仿宋_GB2312" w:cs="仿宋_GB2312"/>
          <w:color w:val="3E3E3E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化流通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体制改革、加快企业做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强做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大的各个环节，着力深化改革，激发市场活力和企业内生动力，涌现出了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批转型发展、创新发展的佼佼者。而卓越的商业管理人才则不仅影响着自己的团队、自己的员工和自己的竞争对手，也影响着行业的走向，助推经济社会可持续发展。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Chars="200" w:firstLine="640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lastRenderedPageBreak/>
        <w:t xml:space="preserve">2016年11月，商务部等10部门印发的《国内贸易流通“十三五”发展规划》中指出：引导流通企业增强品牌意识，夯实品牌发展基础，培育名店、名师和名品，推动中国产品向中国品牌转变，促进品牌国际化，提升产品附加值和软实力。  </w:t>
      </w:r>
    </w:p>
    <w:p w:rsidR="001D54EC" w:rsidRDefault="00E4169C">
      <w:pPr>
        <w:pStyle w:val="a5"/>
        <w:widowControl/>
        <w:spacing w:beforeAutospacing="0" w:afterAutospacing="0" w:line="555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 xml:space="preserve">    “2017山东省商界年度人物”和“2017山东省十佳商业品牌”推选活动，旨在展现商界人的骄人风采和宣传优秀商业知名品牌，让追求卓越成为全社会、全民族的价值导向和时代精神，为全面建成小康社会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更大贡献。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3E3E3E"/>
          <w:sz w:val="32"/>
          <w:szCs w:val="32"/>
        </w:rPr>
        <w:t>二、推选对象</w:t>
      </w:r>
    </w:p>
    <w:p w:rsidR="001D54EC" w:rsidRDefault="00E4169C">
      <w:pPr>
        <w:pStyle w:val="a5"/>
        <w:widowControl/>
        <w:spacing w:beforeAutospacing="0" w:afterAutospacing="0" w:line="555" w:lineRule="atLeast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 xml:space="preserve">    1、“2017山东省商界年度人物”</w:t>
      </w:r>
    </w:p>
    <w:p w:rsidR="001D54EC" w:rsidRDefault="00E4169C">
      <w:pPr>
        <w:pStyle w:val="a5"/>
        <w:widowControl/>
        <w:spacing w:beforeAutospacing="0" w:afterAutospacing="0" w:line="555" w:lineRule="atLeast"/>
        <w:ind w:left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 xml:space="preserve"> 要求：在山东省注册的零售企业、生产企业和零售业服务企业的高层管理者。</w:t>
      </w:r>
    </w:p>
    <w:p w:rsidR="001D54EC" w:rsidRDefault="00E4169C">
      <w:pPr>
        <w:pStyle w:val="a5"/>
        <w:widowControl/>
        <w:spacing w:beforeAutospacing="0" w:afterAutospacing="0" w:line="555" w:lineRule="atLeas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 xml:space="preserve">    2、“2017山东省十佳商业品牌”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要求：在山东省注册的零售企业、生产企业和零售业服务企业。</w:t>
      </w:r>
    </w:p>
    <w:p w:rsidR="001D54EC" w:rsidRDefault="00E4169C">
      <w:pPr>
        <w:pStyle w:val="a5"/>
        <w:widowControl/>
        <w:spacing w:beforeAutospacing="0" w:afterAutospacing="0" w:line="555" w:lineRule="atLeast"/>
        <w:ind w:left="645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3E3E3E"/>
          <w:sz w:val="32"/>
          <w:szCs w:val="32"/>
        </w:rPr>
        <w:t>三、推选流程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1、组建由行业协会、商务主管部门和专家学者、新闻媒体的代表构成的评委会。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2、评委会各委员可根据“2017山东省商界年度人物”评审标准（见下文）和“2017山东省十佳商业品牌”评审标准（见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lastRenderedPageBreak/>
        <w:t>下文）推荐参选人物和参选品牌，并将推荐表（见附件）于4月</w:t>
      </w:r>
      <w:r w:rsidR="000A4C88"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日前寄至：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济南市山师东路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4号（邮编：250014）。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3、评委会在综合各地推荐的基础上，提出候选名单，并组织候选人员单位提供参评材料。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4、评委会初审、遴选公示榜单，并做成网页及链接，在山东省商会网站进行公示，接受社会监督，并通过适当途径定向征求意见。</w:t>
      </w:r>
    </w:p>
    <w:p w:rsidR="001D54EC" w:rsidRDefault="00E4169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3E3E3E"/>
          <w:kern w:val="0"/>
          <w:sz w:val="32"/>
          <w:szCs w:val="32"/>
          <w:lang w:bidi="ar"/>
        </w:rPr>
      </w:pPr>
      <w:bookmarkStart w:id="0" w:name="OLE_LINK1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5、评委会终审，综合各方意见</w:t>
      </w:r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，综合产生2017年获奖名单。</w:t>
      </w:r>
    </w:p>
    <w:bookmarkEnd w:id="0"/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Style w:val="a6"/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E3E3E"/>
          <w:sz w:val="32"/>
          <w:szCs w:val="32"/>
        </w:rPr>
        <w:t>四、</w:t>
      </w:r>
      <w:r>
        <w:rPr>
          <w:rStyle w:val="a6"/>
          <w:rFonts w:ascii="仿宋_GB2312" w:eastAsia="仿宋_GB2312" w:hAnsi="仿宋_GB2312" w:cs="仿宋_GB2312" w:hint="eastAsia"/>
          <w:color w:val="3E3E3E"/>
          <w:sz w:val="32"/>
          <w:szCs w:val="32"/>
        </w:rPr>
        <w:t>推选标准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（一）商界人物入选标准：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1、领导该企业取得了不凡的财务收益，与同业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态企业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相比令人钦佩，拥有极大的行业影响力。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2、在其领导期间，该企业通过实体商业创新、O2O等发展模式的转型升级，加大供给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侧改革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等经营管理的改革创新力度，实现了经济效益的增长和管理效率的提升。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3、培养并拥有一支完整、高效的管理团队，其在管理方面有突出的能力，深受下属爱戴。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4、熟悉企业一线业务，在管理、营销、转型、创新及决策方面拥有极高的达成率，深受业界拥戴。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lastRenderedPageBreak/>
        <w:t>5、为商业企业整体市场环境和行业素质的提升做出了突出贡献。</w:t>
      </w:r>
    </w:p>
    <w:p w:rsidR="001D54EC" w:rsidRDefault="00E4169C">
      <w:pPr>
        <w:pStyle w:val="a5"/>
        <w:widowControl/>
        <w:spacing w:beforeAutospacing="0" w:afterAutospacing="0" w:line="555" w:lineRule="atLeast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 xml:space="preserve">   （二）十佳商业品牌入选标准：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1、在全省具有较高的知名度和美誉度，且没有出现任何重大责任事故。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2、具有完善的服务机构以及服务体系，消费者对其商品和服务具有较高的满意度。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3、在品牌管理方面具有独特的做法和亮点，且成绩突出。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4、获中国驰名商标、中华老字号认定可适当加分。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5、媒体进行重点报道的可适当加分。</w:t>
      </w:r>
    </w:p>
    <w:p w:rsidR="001D54EC" w:rsidRDefault="00E4169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b/>
          <w:bCs/>
          <w:color w:val="3E3E3E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3E3E3E"/>
          <w:kern w:val="0"/>
          <w:sz w:val="32"/>
          <w:szCs w:val="32"/>
          <w:lang w:bidi="ar"/>
        </w:rPr>
        <w:t>表彰推广</w:t>
      </w:r>
    </w:p>
    <w:p w:rsidR="001D54EC" w:rsidRDefault="00E4169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E3E3E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1、组织召开2017年度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“山东省商界年度人物”</w:t>
      </w:r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和“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山东省十佳商业品牌</w:t>
      </w:r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”推选颁奖盛典新闻发布会并颁发荣誉证书和牌匾。</w:t>
      </w:r>
    </w:p>
    <w:p w:rsidR="001D54EC" w:rsidRDefault="00E4169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2、通过电视、山东广播电视台、大众日报、山东商报、网络等省级新闻媒体对大会进行多方位的新闻报道并发布媒体公告，大众网、鲁网、</w:t>
      </w:r>
      <w:proofErr w:type="gramStart"/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齐鲁网</w:t>
      </w:r>
      <w:proofErr w:type="gramEnd"/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等网络平台以及微博、</w:t>
      </w:r>
      <w:proofErr w:type="gramStart"/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微信等</w:t>
      </w:r>
      <w:proofErr w:type="gramEnd"/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>新媒体同步推广报道，进一步扩大企业的社会影响力。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3E3E3E"/>
          <w:sz w:val="32"/>
          <w:szCs w:val="32"/>
        </w:rPr>
        <w:t>六、联系方式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lastRenderedPageBreak/>
        <w:t>为保证推选活动的公信力和长期建设，此活动不进行商业化运作，不收取参评费。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地  址：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济南市山师东路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4号（邮编：250014）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邮  箱：</w:t>
      </w:r>
      <w:hyperlink r:id="rId7" w:history="1">
        <w:r>
          <w:rPr>
            <w:rFonts w:ascii="仿宋_GB2312" w:eastAsia="仿宋_GB2312" w:hAnsi="仿宋_GB2312" w:cs="仿宋_GB2312" w:hint="eastAsia"/>
            <w:color w:val="3E3E3E"/>
            <w:sz w:val="32"/>
            <w:szCs w:val="32"/>
          </w:rPr>
          <w:t>sdssh2015@163.com</w:t>
        </w:r>
      </w:hyperlink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联系人：</w:t>
      </w:r>
      <w:proofErr w:type="gramStart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刘德坤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 xml:space="preserve">  孙欣欣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电  话：0531-83172151</w:t>
      </w: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传  真：0531-83175699  </w:t>
      </w:r>
    </w:p>
    <w:p w:rsidR="001D54EC" w:rsidRDefault="001D54E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</w:rPr>
      </w:pPr>
    </w:p>
    <w:p w:rsidR="001D54EC" w:rsidRDefault="00E4169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>附件一：2017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lang w:bidi="ar"/>
        </w:rPr>
        <w:t>山东省商界年度人物推荐表</w:t>
      </w:r>
    </w:p>
    <w:p w:rsidR="001D54EC" w:rsidRDefault="00E4169C">
      <w:pPr>
        <w:spacing w:line="640" w:lineRule="exact"/>
        <w:rPr>
          <w:rFonts w:ascii="宋体" w:hAnsi="宋体"/>
          <w:b/>
          <w:bCs/>
          <w:sz w:val="44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kern w:val="0"/>
          <w:sz w:val="32"/>
          <w:szCs w:val="32"/>
          <w:lang w:bidi="ar"/>
        </w:rPr>
        <w:t xml:space="preserve">    附件二：2017山东省十佳商业品牌推荐表</w:t>
      </w:r>
    </w:p>
    <w:p w:rsidR="001D54EC" w:rsidRDefault="001D54EC">
      <w:pPr>
        <w:pStyle w:val="a5"/>
        <w:widowControl/>
        <w:spacing w:beforeAutospacing="0" w:afterAutospacing="0" w:line="555" w:lineRule="atLeast"/>
        <w:ind w:firstLine="645"/>
        <w:rPr>
          <w:rFonts w:ascii="仿宋_GB2312" w:eastAsia="仿宋_GB2312" w:hAnsi="仿宋_GB2312" w:cs="仿宋_GB2312"/>
          <w:color w:val="3E3E3E"/>
          <w:sz w:val="32"/>
          <w:szCs w:val="32"/>
          <w:lang w:bidi="ar"/>
        </w:rPr>
      </w:pPr>
    </w:p>
    <w:p w:rsidR="001D54EC" w:rsidRDefault="00E4169C">
      <w:pPr>
        <w:pStyle w:val="a5"/>
        <w:widowControl/>
        <w:spacing w:beforeAutospacing="0" w:afterAutospacing="0" w:line="360" w:lineRule="atLeas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</w:rPr>
        <w:t xml:space="preserve">                                        </w:t>
      </w:r>
    </w:p>
    <w:p w:rsidR="001D54EC" w:rsidRDefault="00E4169C">
      <w:pPr>
        <w:spacing w:line="579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</w:t>
      </w:r>
    </w:p>
    <w:p w:rsidR="001D54EC" w:rsidRDefault="001D54EC">
      <w:pPr>
        <w:spacing w:line="579" w:lineRule="exact"/>
        <w:ind w:firstLineChars="225" w:firstLine="720"/>
        <w:rPr>
          <w:rFonts w:eastAsia="仿宋_GB2312"/>
          <w:sz w:val="32"/>
          <w:szCs w:val="32"/>
        </w:rPr>
      </w:pPr>
    </w:p>
    <w:p w:rsidR="001D54EC" w:rsidRDefault="00E4169C">
      <w:pPr>
        <w:spacing w:line="579" w:lineRule="exact"/>
        <w:ind w:firstLineChars="225" w:firstLine="72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山东省商会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山东省零售业协会</w:t>
      </w:r>
    </w:p>
    <w:p w:rsidR="001D54EC" w:rsidRDefault="00E4169C">
      <w:pPr>
        <w:spacing w:line="579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日</w:t>
      </w:r>
    </w:p>
    <w:p w:rsidR="001D54EC" w:rsidRDefault="001D54EC">
      <w:pPr>
        <w:pStyle w:val="a5"/>
        <w:widowControl/>
        <w:spacing w:beforeAutospacing="0" w:afterAutospacing="0" w:line="360" w:lineRule="atLeast"/>
        <w:rPr>
          <w:rFonts w:ascii="Helvetica Neue" w:hAnsi="Helvetica Neue" w:cs="Helvetica Neue" w:hint="eastAsia"/>
          <w:color w:val="000000"/>
          <w:sz w:val="36"/>
          <w:szCs w:val="36"/>
        </w:rPr>
      </w:pPr>
    </w:p>
    <w:p w:rsidR="00234F90" w:rsidRDefault="00234F90">
      <w:pPr>
        <w:pStyle w:val="a5"/>
        <w:widowControl/>
        <w:spacing w:beforeAutospacing="0" w:afterAutospacing="0" w:line="360" w:lineRule="atLeast"/>
        <w:rPr>
          <w:rFonts w:ascii="Helvetica Neue" w:hAnsi="Helvetica Neue" w:cs="Helvetica Neue" w:hint="eastAsia"/>
          <w:color w:val="000000"/>
          <w:sz w:val="36"/>
          <w:szCs w:val="36"/>
        </w:rPr>
      </w:pPr>
    </w:p>
    <w:p w:rsidR="00234F90" w:rsidRDefault="00234F90">
      <w:pPr>
        <w:pStyle w:val="a5"/>
        <w:widowControl/>
        <w:spacing w:beforeAutospacing="0" w:afterAutospacing="0" w:line="360" w:lineRule="atLeast"/>
        <w:rPr>
          <w:rFonts w:ascii="Helvetica Neue" w:hAnsi="Helvetica Neue" w:cs="Helvetica Neue" w:hint="eastAsia"/>
          <w:color w:val="000000"/>
          <w:sz w:val="36"/>
          <w:szCs w:val="36"/>
        </w:rPr>
      </w:pPr>
    </w:p>
    <w:p w:rsidR="00234F90" w:rsidRDefault="00234F90">
      <w:pPr>
        <w:pStyle w:val="a5"/>
        <w:widowControl/>
        <w:spacing w:beforeAutospacing="0" w:afterAutospacing="0" w:line="360" w:lineRule="atLeast"/>
        <w:rPr>
          <w:rFonts w:ascii="Helvetica Neue" w:hAnsi="Helvetica Neue" w:cs="Helvetica Neue" w:hint="eastAsia"/>
          <w:color w:val="000000"/>
          <w:sz w:val="36"/>
          <w:szCs w:val="36"/>
        </w:rPr>
      </w:pPr>
    </w:p>
    <w:p w:rsidR="001D54EC" w:rsidRDefault="00E4169C">
      <w:pPr>
        <w:tabs>
          <w:tab w:val="left" w:pos="7560"/>
        </w:tabs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附件一</w:t>
      </w:r>
    </w:p>
    <w:p w:rsidR="001D54EC" w:rsidRDefault="00E4169C">
      <w:pPr>
        <w:spacing w:line="640" w:lineRule="exact"/>
        <w:jc w:val="center"/>
        <w:rPr>
          <w:rFonts w:ascii="宋体" w:hAnsi="宋体"/>
          <w:b/>
          <w:bCs/>
          <w:color w:val="000000"/>
          <w:sz w:val="44"/>
          <w:szCs w:val="32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2017山东省商界年度人物推荐表</w:t>
      </w:r>
    </w:p>
    <w:p w:rsidR="001D54EC" w:rsidRDefault="001D54EC">
      <w:pPr>
        <w:spacing w:line="160" w:lineRule="exact"/>
        <w:ind w:firstLine="318"/>
        <w:jc w:val="center"/>
        <w:rPr>
          <w:rFonts w:ascii="仿宋_GB2312" w:eastAsia="仿宋_GB2312"/>
          <w:b/>
          <w:bCs/>
          <w:color w:val="000000"/>
          <w:sz w:val="30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266"/>
        <w:gridCol w:w="6"/>
        <w:gridCol w:w="474"/>
        <w:gridCol w:w="954"/>
        <w:gridCol w:w="409"/>
        <w:gridCol w:w="141"/>
        <w:gridCol w:w="326"/>
        <w:gridCol w:w="6"/>
        <w:gridCol w:w="159"/>
        <w:gridCol w:w="722"/>
        <w:gridCol w:w="397"/>
        <w:gridCol w:w="473"/>
        <w:gridCol w:w="787"/>
        <w:gridCol w:w="1770"/>
      </w:tblGrid>
      <w:tr w:rsidR="001D54EC">
        <w:trPr>
          <w:cantSplit/>
          <w:trHeight w:val="39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54EC">
        <w:trPr>
          <w:cantSplit/>
          <w:trHeight w:val="55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54EC">
        <w:trPr>
          <w:cantSplit/>
          <w:trHeight w:val="555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</w:tr>
      <w:tr w:rsidR="001D54EC">
        <w:trPr>
          <w:cantSplit/>
          <w:trHeight w:val="555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54EC">
        <w:trPr>
          <w:cantSplit/>
          <w:trHeight w:val="523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被推荐人</w:t>
            </w:r>
          </w:p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情 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54EC">
        <w:trPr>
          <w:cantSplit/>
          <w:trHeight w:val="555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ind w:left="282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54EC">
        <w:trPr>
          <w:cantSplit/>
          <w:trHeight w:val="555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职称（技术等级）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54EC">
        <w:trPr>
          <w:trHeight w:val="1763"/>
          <w:jc w:val="center"/>
        </w:trPr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主要事迹（1500字，另附页）：</w:t>
            </w:r>
          </w:p>
        </w:tc>
        <w:tc>
          <w:tcPr>
            <w:tcW w:w="519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  <w:p w:rsidR="001D54EC" w:rsidRDefault="001D54EC">
            <w:pPr>
              <w:spacing w:line="480" w:lineRule="exact"/>
              <w:ind w:firstLineChars="1200" w:firstLine="2880"/>
              <w:rPr>
                <w:rFonts w:ascii="宋体" w:hAnsi="宋体"/>
                <w:color w:val="000000"/>
                <w:sz w:val="24"/>
              </w:rPr>
            </w:pPr>
          </w:p>
          <w:p w:rsidR="001D54EC" w:rsidRDefault="00E4169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</w:t>
            </w:r>
          </w:p>
          <w:p w:rsidR="001D54EC" w:rsidRDefault="001D54EC">
            <w:pPr>
              <w:spacing w:line="480" w:lineRule="exact"/>
              <w:ind w:firstLineChars="1200" w:firstLine="2880"/>
              <w:rPr>
                <w:rFonts w:ascii="宋体" w:hAnsi="宋体"/>
                <w:color w:val="000000"/>
                <w:sz w:val="24"/>
              </w:rPr>
            </w:pPr>
          </w:p>
          <w:p w:rsidR="001D54EC" w:rsidRDefault="001D54EC">
            <w:pPr>
              <w:spacing w:line="480" w:lineRule="exact"/>
              <w:ind w:firstLineChars="1200" w:firstLine="28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54EC">
        <w:trPr>
          <w:trHeight w:val="1930"/>
          <w:jc w:val="center"/>
        </w:trPr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企业意见：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1D54EC" w:rsidRDefault="00E4169C">
            <w:pPr>
              <w:spacing w:line="480" w:lineRule="exact"/>
              <w:ind w:firstLineChars="800" w:firstLine="1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日（公章）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推荐委员或当地商业联合会意见：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1D54EC" w:rsidRDefault="00E4169C">
            <w:pPr>
              <w:spacing w:line="480" w:lineRule="exact"/>
              <w:ind w:firstLineChars="800" w:firstLine="1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日（公章）</w:t>
            </w:r>
          </w:p>
        </w:tc>
      </w:tr>
      <w:tr w:rsidR="001D54EC">
        <w:trPr>
          <w:trHeight w:val="1622"/>
          <w:jc w:val="center"/>
        </w:trPr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评委会评审意见：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1D54EC" w:rsidRDefault="00E4169C">
            <w:pPr>
              <w:spacing w:line="480" w:lineRule="exact"/>
              <w:ind w:firstLineChars="800" w:firstLine="1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日（公章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评委会审定意见：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1D54EC" w:rsidRDefault="00E4169C">
            <w:pPr>
              <w:spacing w:line="360" w:lineRule="exact"/>
              <w:ind w:firstLineChars="800" w:firstLine="1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日（公章）</w:t>
            </w:r>
          </w:p>
        </w:tc>
      </w:tr>
    </w:tbl>
    <w:p w:rsidR="001D54EC" w:rsidRPr="00E4169C" w:rsidRDefault="00E4169C">
      <w:pPr>
        <w:spacing w:line="48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 w:rsidR="0054526F" w:rsidRPr="0054526F">
        <w:rPr>
          <w:rFonts w:ascii="宋体" w:hAnsi="宋体" w:hint="eastAsia"/>
          <w:color w:val="000000"/>
          <w:sz w:val="24"/>
        </w:rPr>
        <w:t>4月20日</w:t>
      </w:r>
      <w:r w:rsidR="0054526F">
        <w:rPr>
          <w:rFonts w:ascii="宋体" w:hAnsi="宋体" w:hint="eastAsia"/>
          <w:color w:val="000000"/>
          <w:sz w:val="24"/>
        </w:rPr>
        <w:t>前</w:t>
      </w:r>
      <w:r>
        <w:rPr>
          <w:rFonts w:ascii="宋体" w:hAnsi="宋体" w:hint="eastAsia"/>
          <w:color w:val="000000"/>
          <w:sz w:val="24"/>
        </w:rPr>
        <w:t>发送电子版至邮箱：sdssh2015@163.com</w:t>
      </w:r>
    </w:p>
    <w:p w:rsidR="001D54EC" w:rsidRDefault="001D54EC">
      <w:pPr>
        <w:tabs>
          <w:tab w:val="left" w:pos="7560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54EC" w:rsidRDefault="00E4169C">
      <w:pPr>
        <w:tabs>
          <w:tab w:val="left" w:pos="7560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附件二</w:t>
      </w:r>
    </w:p>
    <w:p w:rsidR="001D54EC" w:rsidRDefault="00E4169C">
      <w:pPr>
        <w:spacing w:line="640" w:lineRule="exact"/>
        <w:jc w:val="center"/>
        <w:rPr>
          <w:rFonts w:ascii="宋体" w:hAnsi="宋体"/>
          <w:b/>
          <w:bCs/>
          <w:sz w:val="44"/>
          <w:szCs w:val="32"/>
        </w:rPr>
      </w:pPr>
      <w:r>
        <w:rPr>
          <w:rFonts w:ascii="宋体" w:hAnsi="宋体" w:hint="eastAsia"/>
          <w:b/>
          <w:bCs/>
          <w:sz w:val="44"/>
          <w:szCs w:val="44"/>
        </w:rPr>
        <w:t>2017山东省十佳商业品牌推荐表</w:t>
      </w:r>
    </w:p>
    <w:p w:rsidR="001D54EC" w:rsidRDefault="001D54EC">
      <w:pPr>
        <w:spacing w:line="160" w:lineRule="exact"/>
        <w:ind w:firstLine="318"/>
        <w:jc w:val="center"/>
        <w:rPr>
          <w:rFonts w:ascii="仿宋_GB2312" w:eastAsia="仿宋_GB2312"/>
          <w:b/>
          <w:bCs/>
          <w:sz w:val="30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746"/>
        <w:gridCol w:w="954"/>
        <w:gridCol w:w="180"/>
        <w:gridCol w:w="229"/>
        <w:gridCol w:w="1031"/>
        <w:gridCol w:w="1193"/>
        <w:gridCol w:w="67"/>
        <w:gridCol w:w="900"/>
        <w:gridCol w:w="1590"/>
      </w:tblGrid>
      <w:tr w:rsidR="001D54EC">
        <w:trPr>
          <w:cantSplit/>
          <w:trHeight w:val="39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54EC">
        <w:trPr>
          <w:cantSplit/>
          <w:trHeight w:val="55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54EC">
        <w:trPr>
          <w:cantSplit/>
          <w:trHeight w:val="555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E416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</w:tr>
      <w:tr w:rsidR="001D54EC">
        <w:trPr>
          <w:cantSplit/>
          <w:trHeight w:val="555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EC" w:rsidRDefault="001D54E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1D54EC">
            <w:pPr>
              <w:spacing w:line="48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1D54EC">
        <w:trPr>
          <w:trHeight w:val="2059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品牌介绍（另附页）：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1D54EC" w:rsidRDefault="001D54EC">
            <w:pPr>
              <w:spacing w:line="480" w:lineRule="exact"/>
              <w:ind w:firstLineChars="1200" w:firstLine="2880"/>
              <w:rPr>
                <w:rFonts w:ascii="宋体" w:hAnsi="宋体"/>
                <w:sz w:val="24"/>
              </w:rPr>
            </w:pPr>
          </w:p>
          <w:p w:rsidR="001D54EC" w:rsidRDefault="00E4169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1D54EC" w:rsidRDefault="001D54EC">
            <w:pPr>
              <w:spacing w:line="480" w:lineRule="exact"/>
              <w:ind w:firstLineChars="1200" w:firstLine="2880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ind w:firstLineChars="1200" w:firstLine="2880"/>
              <w:rPr>
                <w:rFonts w:ascii="宋体" w:hAnsi="宋体"/>
                <w:sz w:val="24"/>
              </w:rPr>
            </w:pPr>
          </w:p>
        </w:tc>
      </w:tr>
      <w:tr w:rsidR="001D54EC">
        <w:trPr>
          <w:trHeight w:val="1905"/>
          <w:jc w:val="center"/>
        </w:trPr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企业意见：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E4169C">
            <w:pPr>
              <w:spacing w:line="48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日（公章）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推荐委员或当地商业联合会意见：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E4169C">
            <w:pPr>
              <w:spacing w:line="48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日（公章）</w:t>
            </w:r>
          </w:p>
        </w:tc>
      </w:tr>
      <w:tr w:rsidR="001D54EC">
        <w:trPr>
          <w:trHeight w:val="1978"/>
          <w:jc w:val="center"/>
        </w:trPr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评委会评审意见：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E4169C">
            <w:pPr>
              <w:spacing w:line="48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日（公章）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C" w:rsidRDefault="00E4169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评委会审定意见：</w:t>
            </w: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1D54EC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D54EC" w:rsidRDefault="00E4169C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日（公章）</w:t>
            </w:r>
          </w:p>
        </w:tc>
      </w:tr>
    </w:tbl>
    <w:p w:rsidR="001D54EC" w:rsidRDefault="00E4169C">
      <w:pPr>
        <w:spacing w:line="48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 w:rsidR="0054526F" w:rsidRPr="0054526F">
        <w:rPr>
          <w:rFonts w:ascii="宋体" w:hAnsi="宋体" w:hint="eastAsia"/>
          <w:color w:val="000000"/>
          <w:sz w:val="24"/>
        </w:rPr>
        <w:t>4月20日</w:t>
      </w:r>
      <w:r w:rsidR="0054526F">
        <w:rPr>
          <w:rFonts w:ascii="宋体" w:hAnsi="宋体" w:hint="eastAsia"/>
          <w:color w:val="000000"/>
          <w:sz w:val="24"/>
        </w:rPr>
        <w:t>前</w:t>
      </w:r>
      <w:r>
        <w:rPr>
          <w:rFonts w:ascii="宋体" w:hAnsi="宋体" w:hint="eastAsia"/>
          <w:color w:val="000000"/>
          <w:sz w:val="24"/>
        </w:rPr>
        <w:t>发送电子版至邮箱：sdssh2015@163.com</w:t>
      </w:r>
    </w:p>
    <w:p w:rsidR="001D54EC" w:rsidRPr="0054526F" w:rsidRDefault="001D54EC">
      <w:pPr>
        <w:pStyle w:val="a5"/>
        <w:widowControl/>
        <w:spacing w:beforeAutospacing="0" w:afterAutospacing="0" w:line="360" w:lineRule="atLeast"/>
        <w:rPr>
          <w:rFonts w:ascii="Helvetica Neue" w:eastAsia="Helvetica Neue" w:hAnsi="Helvetica Neue" w:cs="Helvetica Neue"/>
          <w:color w:val="000000"/>
          <w:sz w:val="36"/>
          <w:szCs w:val="36"/>
        </w:rPr>
      </w:pPr>
    </w:p>
    <w:p w:rsidR="001D54EC" w:rsidRDefault="001D54EC">
      <w:bookmarkStart w:id="1" w:name="_GoBack"/>
      <w:bookmarkEnd w:id="1"/>
    </w:p>
    <w:sectPr w:rsidR="001D54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Latha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4102"/>
    <w:multiLevelType w:val="multilevel"/>
    <w:tmpl w:val="28AD4102"/>
    <w:lvl w:ilvl="0">
      <w:start w:val="5"/>
      <w:numFmt w:val="japaneseCounting"/>
      <w:lvlText w:val="%1、"/>
      <w:lvlJc w:val="left"/>
      <w:pPr>
        <w:ind w:left="1380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28"/>
    <w:rsid w:val="000A4C88"/>
    <w:rsid w:val="000D36FC"/>
    <w:rsid w:val="00121469"/>
    <w:rsid w:val="0015653F"/>
    <w:rsid w:val="001A6B17"/>
    <w:rsid w:val="001D54EC"/>
    <w:rsid w:val="00234F90"/>
    <w:rsid w:val="002B4B16"/>
    <w:rsid w:val="003461CE"/>
    <w:rsid w:val="00355628"/>
    <w:rsid w:val="004505A8"/>
    <w:rsid w:val="00496789"/>
    <w:rsid w:val="0054526F"/>
    <w:rsid w:val="00574970"/>
    <w:rsid w:val="008707EA"/>
    <w:rsid w:val="00974140"/>
    <w:rsid w:val="00994F26"/>
    <w:rsid w:val="00A45B71"/>
    <w:rsid w:val="00A74490"/>
    <w:rsid w:val="00AC2735"/>
    <w:rsid w:val="00AE75A6"/>
    <w:rsid w:val="00B13C8E"/>
    <w:rsid w:val="00BC6BE9"/>
    <w:rsid w:val="00BF257C"/>
    <w:rsid w:val="00C44FA2"/>
    <w:rsid w:val="00C703FE"/>
    <w:rsid w:val="00C8771D"/>
    <w:rsid w:val="00CC5671"/>
    <w:rsid w:val="00DE227F"/>
    <w:rsid w:val="00E4169C"/>
    <w:rsid w:val="00E53817"/>
    <w:rsid w:val="00E84F53"/>
    <w:rsid w:val="00F249F0"/>
    <w:rsid w:val="013A2F4A"/>
    <w:rsid w:val="019E680F"/>
    <w:rsid w:val="01EF1299"/>
    <w:rsid w:val="020151B9"/>
    <w:rsid w:val="020B3727"/>
    <w:rsid w:val="022C782C"/>
    <w:rsid w:val="023920DD"/>
    <w:rsid w:val="025E3703"/>
    <w:rsid w:val="026262B3"/>
    <w:rsid w:val="0280455A"/>
    <w:rsid w:val="02CB7457"/>
    <w:rsid w:val="02E242EB"/>
    <w:rsid w:val="03160C7D"/>
    <w:rsid w:val="033664DB"/>
    <w:rsid w:val="033D2126"/>
    <w:rsid w:val="035267BF"/>
    <w:rsid w:val="037F2A74"/>
    <w:rsid w:val="03A11DDA"/>
    <w:rsid w:val="03F87A8A"/>
    <w:rsid w:val="043C4E1C"/>
    <w:rsid w:val="045C7153"/>
    <w:rsid w:val="04674C04"/>
    <w:rsid w:val="04785A26"/>
    <w:rsid w:val="04980F3E"/>
    <w:rsid w:val="049B545D"/>
    <w:rsid w:val="04BE5E45"/>
    <w:rsid w:val="05B12337"/>
    <w:rsid w:val="065A33CE"/>
    <w:rsid w:val="066640CE"/>
    <w:rsid w:val="067A26A6"/>
    <w:rsid w:val="06826182"/>
    <w:rsid w:val="06956F3A"/>
    <w:rsid w:val="06C57E23"/>
    <w:rsid w:val="070A5931"/>
    <w:rsid w:val="07B8600F"/>
    <w:rsid w:val="07EE5F72"/>
    <w:rsid w:val="080F63D5"/>
    <w:rsid w:val="08525A68"/>
    <w:rsid w:val="085A1132"/>
    <w:rsid w:val="085C7B91"/>
    <w:rsid w:val="086D10B6"/>
    <w:rsid w:val="08AA4958"/>
    <w:rsid w:val="094B2E72"/>
    <w:rsid w:val="094C1739"/>
    <w:rsid w:val="09BC45C5"/>
    <w:rsid w:val="09C1304B"/>
    <w:rsid w:val="09C50B0A"/>
    <w:rsid w:val="09ED1E39"/>
    <w:rsid w:val="09EF0C20"/>
    <w:rsid w:val="09F572B6"/>
    <w:rsid w:val="0A2E7A4B"/>
    <w:rsid w:val="0A410998"/>
    <w:rsid w:val="0A4E2E37"/>
    <w:rsid w:val="0A782C99"/>
    <w:rsid w:val="0AB021C0"/>
    <w:rsid w:val="0ABB2CAE"/>
    <w:rsid w:val="0AF51441"/>
    <w:rsid w:val="0B1C24D6"/>
    <w:rsid w:val="0B467CEE"/>
    <w:rsid w:val="0B481A6C"/>
    <w:rsid w:val="0BD77F08"/>
    <w:rsid w:val="0C0012B4"/>
    <w:rsid w:val="0C015E5F"/>
    <w:rsid w:val="0C0207E1"/>
    <w:rsid w:val="0C0770F2"/>
    <w:rsid w:val="0C11771A"/>
    <w:rsid w:val="0C3A7B3A"/>
    <w:rsid w:val="0C484BCA"/>
    <w:rsid w:val="0C570E78"/>
    <w:rsid w:val="0C8161EB"/>
    <w:rsid w:val="0C937E11"/>
    <w:rsid w:val="0CB2626A"/>
    <w:rsid w:val="0D3A736E"/>
    <w:rsid w:val="0D41228E"/>
    <w:rsid w:val="0D4A0A46"/>
    <w:rsid w:val="0D855217"/>
    <w:rsid w:val="0D8E3346"/>
    <w:rsid w:val="0D964D23"/>
    <w:rsid w:val="0DA55F5C"/>
    <w:rsid w:val="0DAD1284"/>
    <w:rsid w:val="0DC74F0B"/>
    <w:rsid w:val="0DFD7A9C"/>
    <w:rsid w:val="0E085B92"/>
    <w:rsid w:val="0E2C730E"/>
    <w:rsid w:val="0E5A3EF6"/>
    <w:rsid w:val="0E9A115C"/>
    <w:rsid w:val="0ECC3348"/>
    <w:rsid w:val="0EE91A35"/>
    <w:rsid w:val="0F155335"/>
    <w:rsid w:val="0F6B1D56"/>
    <w:rsid w:val="10284BB1"/>
    <w:rsid w:val="107717D7"/>
    <w:rsid w:val="10D22779"/>
    <w:rsid w:val="11123F5F"/>
    <w:rsid w:val="11134F9B"/>
    <w:rsid w:val="111823D8"/>
    <w:rsid w:val="116F1F92"/>
    <w:rsid w:val="11F96821"/>
    <w:rsid w:val="122C7745"/>
    <w:rsid w:val="12460D95"/>
    <w:rsid w:val="1256145B"/>
    <w:rsid w:val="12584D44"/>
    <w:rsid w:val="12611DC8"/>
    <w:rsid w:val="12840371"/>
    <w:rsid w:val="12884E62"/>
    <w:rsid w:val="12950846"/>
    <w:rsid w:val="129F702E"/>
    <w:rsid w:val="130F16EF"/>
    <w:rsid w:val="136441A1"/>
    <w:rsid w:val="136919CF"/>
    <w:rsid w:val="137156B9"/>
    <w:rsid w:val="138F5EA7"/>
    <w:rsid w:val="13913168"/>
    <w:rsid w:val="139A0A4F"/>
    <w:rsid w:val="13AD2F0D"/>
    <w:rsid w:val="142625D8"/>
    <w:rsid w:val="1449189F"/>
    <w:rsid w:val="144B26E7"/>
    <w:rsid w:val="14587A67"/>
    <w:rsid w:val="14682FA4"/>
    <w:rsid w:val="14C0734C"/>
    <w:rsid w:val="1577139D"/>
    <w:rsid w:val="157E512B"/>
    <w:rsid w:val="15B565FA"/>
    <w:rsid w:val="15F71E62"/>
    <w:rsid w:val="160F2303"/>
    <w:rsid w:val="163024C4"/>
    <w:rsid w:val="164A108B"/>
    <w:rsid w:val="166C40E3"/>
    <w:rsid w:val="169C3F6F"/>
    <w:rsid w:val="16AB0E88"/>
    <w:rsid w:val="16CB6DBD"/>
    <w:rsid w:val="16E11396"/>
    <w:rsid w:val="170441B4"/>
    <w:rsid w:val="172369B4"/>
    <w:rsid w:val="17543CE7"/>
    <w:rsid w:val="17850766"/>
    <w:rsid w:val="178B4429"/>
    <w:rsid w:val="17A1346D"/>
    <w:rsid w:val="17AA7C38"/>
    <w:rsid w:val="17D06F26"/>
    <w:rsid w:val="181C3085"/>
    <w:rsid w:val="182443D5"/>
    <w:rsid w:val="187C5A35"/>
    <w:rsid w:val="18812253"/>
    <w:rsid w:val="18980EBF"/>
    <w:rsid w:val="18B56930"/>
    <w:rsid w:val="18C46F6A"/>
    <w:rsid w:val="18E741C9"/>
    <w:rsid w:val="18E8236C"/>
    <w:rsid w:val="1989640E"/>
    <w:rsid w:val="199F4162"/>
    <w:rsid w:val="19B06797"/>
    <w:rsid w:val="19B61A50"/>
    <w:rsid w:val="19C50541"/>
    <w:rsid w:val="19FF1FC4"/>
    <w:rsid w:val="1A0A2CE9"/>
    <w:rsid w:val="1A1B705D"/>
    <w:rsid w:val="1A4F5598"/>
    <w:rsid w:val="1A5917B8"/>
    <w:rsid w:val="1A6B6762"/>
    <w:rsid w:val="1AA41D68"/>
    <w:rsid w:val="1AD26A71"/>
    <w:rsid w:val="1AD664C6"/>
    <w:rsid w:val="1B207AF9"/>
    <w:rsid w:val="1B5231F9"/>
    <w:rsid w:val="1B6110DA"/>
    <w:rsid w:val="1B6754E9"/>
    <w:rsid w:val="1B803AC1"/>
    <w:rsid w:val="1BB40F00"/>
    <w:rsid w:val="1C274AA1"/>
    <w:rsid w:val="1C313CD4"/>
    <w:rsid w:val="1C3E0ED3"/>
    <w:rsid w:val="1C3F1570"/>
    <w:rsid w:val="1C516AC8"/>
    <w:rsid w:val="1C622DC0"/>
    <w:rsid w:val="1C866A5A"/>
    <w:rsid w:val="1CD166A2"/>
    <w:rsid w:val="1D43713D"/>
    <w:rsid w:val="1D4512B1"/>
    <w:rsid w:val="1D565735"/>
    <w:rsid w:val="1D664905"/>
    <w:rsid w:val="1D683007"/>
    <w:rsid w:val="1D805F09"/>
    <w:rsid w:val="1DA71646"/>
    <w:rsid w:val="1DB914E3"/>
    <w:rsid w:val="1E2A5167"/>
    <w:rsid w:val="1E805799"/>
    <w:rsid w:val="1EB41059"/>
    <w:rsid w:val="1FA82DD1"/>
    <w:rsid w:val="1FE523A6"/>
    <w:rsid w:val="20483077"/>
    <w:rsid w:val="206E511E"/>
    <w:rsid w:val="20832A3A"/>
    <w:rsid w:val="20DB47DF"/>
    <w:rsid w:val="20E8053F"/>
    <w:rsid w:val="20FF7397"/>
    <w:rsid w:val="210F1480"/>
    <w:rsid w:val="21486125"/>
    <w:rsid w:val="21723A07"/>
    <w:rsid w:val="2191098B"/>
    <w:rsid w:val="21AF58A9"/>
    <w:rsid w:val="21B609E2"/>
    <w:rsid w:val="21B872DF"/>
    <w:rsid w:val="21D16894"/>
    <w:rsid w:val="21E20067"/>
    <w:rsid w:val="21E811C0"/>
    <w:rsid w:val="21ED5436"/>
    <w:rsid w:val="222005AD"/>
    <w:rsid w:val="22736269"/>
    <w:rsid w:val="227443C5"/>
    <w:rsid w:val="22B75B41"/>
    <w:rsid w:val="23217785"/>
    <w:rsid w:val="235A24FF"/>
    <w:rsid w:val="23922FFA"/>
    <w:rsid w:val="23CD7676"/>
    <w:rsid w:val="240212E0"/>
    <w:rsid w:val="24305BE4"/>
    <w:rsid w:val="24867F62"/>
    <w:rsid w:val="24CA3506"/>
    <w:rsid w:val="2574439F"/>
    <w:rsid w:val="25A16E7C"/>
    <w:rsid w:val="25BE3626"/>
    <w:rsid w:val="264624A5"/>
    <w:rsid w:val="2652421E"/>
    <w:rsid w:val="26AD3F94"/>
    <w:rsid w:val="26BB39C9"/>
    <w:rsid w:val="26DB6865"/>
    <w:rsid w:val="26DD6189"/>
    <w:rsid w:val="26E85617"/>
    <w:rsid w:val="27145678"/>
    <w:rsid w:val="27497F65"/>
    <w:rsid w:val="27553B2D"/>
    <w:rsid w:val="276874D8"/>
    <w:rsid w:val="27A711C3"/>
    <w:rsid w:val="27B14CF2"/>
    <w:rsid w:val="27DC5566"/>
    <w:rsid w:val="285633E0"/>
    <w:rsid w:val="28AB4E76"/>
    <w:rsid w:val="28DF56F5"/>
    <w:rsid w:val="28F9624E"/>
    <w:rsid w:val="29090699"/>
    <w:rsid w:val="293C2938"/>
    <w:rsid w:val="294C4D60"/>
    <w:rsid w:val="296919F1"/>
    <w:rsid w:val="297454A8"/>
    <w:rsid w:val="29CF5B0C"/>
    <w:rsid w:val="29ED4691"/>
    <w:rsid w:val="2A0C2E79"/>
    <w:rsid w:val="2A0F6707"/>
    <w:rsid w:val="2A2622BA"/>
    <w:rsid w:val="2AAD4716"/>
    <w:rsid w:val="2AC77E7A"/>
    <w:rsid w:val="2B005EAA"/>
    <w:rsid w:val="2BB61430"/>
    <w:rsid w:val="2C0F39DB"/>
    <w:rsid w:val="2C2A27ED"/>
    <w:rsid w:val="2C396D06"/>
    <w:rsid w:val="2C6E5076"/>
    <w:rsid w:val="2C9C5DD6"/>
    <w:rsid w:val="2CF77B0F"/>
    <w:rsid w:val="2D2E7040"/>
    <w:rsid w:val="2D427A9C"/>
    <w:rsid w:val="2D433E8E"/>
    <w:rsid w:val="2D4D799A"/>
    <w:rsid w:val="2D624448"/>
    <w:rsid w:val="2D7C60C1"/>
    <w:rsid w:val="2D8F2A6D"/>
    <w:rsid w:val="2E104321"/>
    <w:rsid w:val="2E372526"/>
    <w:rsid w:val="2E6D41CC"/>
    <w:rsid w:val="2E9D384D"/>
    <w:rsid w:val="2EC54111"/>
    <w:rsid w:val="2ED54B84"/>
    <w:rsid w:val="2F515F2F"/>
    <w:rsid w:val="2F582B1A"/>
    <w:rsid w:val="2F6F716D"/>
    <w:rsid w:val="2F921CD2"/>
    <w:rsid w:val="2F931E89"/>
    <w:rsid w:val="2F990879"/>
    <w:rsid w:val="2FA709AC"/>
    <w:rsid w:val="306D6536"/>
    <w:rsid w:val="30FF3C3C"/>
    <w:rsid w:val="30FF78A9"/>
    <w:rsid w:val="313A5A16"/>
    <w:rsid w:val="31C80ECD"/>
    <w:rsid w:val="31EF6D6B"/>
    <w:rsid w:val="323B737A"/>
    <w:rsid w:val="32414A96"/>
    <w:rsid w:val="324A2D30"/>
    <w:rsid w:val="32534B9B"/>
    <w:rsid w:val="32771159"/>
    <w:rsid w:val="3284338B"/>
    <w:rsid w:val="32A3542C"/>
    <w:rsid w:val="32B2181D"/>
    <w:rsid w:val="32F3089F"/>
    <w:rsid w:val="335118DB"/>
    <w:rsid w:val="337C56B8"/>
    <w:rsid w:val="337C71B0"/>
    <w:rsid w:val="338E47CB"/>
    <w:rsid w:val="33E13795"/>
    <w:rsid w:val="340C6898"/>
    <w:rsid w:val="341F7217"/>
    <w:rsid w:val="342730F4"/>
    <w:rsid w:val="344B44CB"/>
    <w:rsid w:val="3499408A"/>
    <w:rsid w:val="34C775C1"/>
    <w:rsid w:val="35373593"/>
    <w:rsid w:val="353C1E43"/>
    <w:rsid w:val="354F64DC"/>
    <w:rsid w:val="36003DDD"/>
    <w:rsid w:val="361418BD"/>
    <w:rsid w:val="361F4712"/>
    <w:rsid w:val="3628395E"/>
    <w:rsid w:val="36CA4591"/>
    <w:rsid w:val="36CD2A58"/>
    <w:rsid w:val="37201296"/>
    <w:rsid w:val="377D61D4"/>
    <w:rsid w:val="37BD7B24"/>
    <w:rsid w:val="37CD39B1"/>
    <w:rsid w:val="37DA709B"/>
    <w:rsid w:val="38180032"/>
    <w:rsid w:val="38210408"/>
    <w:rsid w:val="3836008A"/>
    <w:rsid w:val="38437DB2"/>
    <w:rsid w:val="385304C7"/>
    <w:rsid w:val="3880656B"/>
    <w:rsid w:val="38961219"/>
    <w:rsid w:val="38D55A0E"/>
    <w:rsid w:val="3930767C"/>
    <w:rsid w:val="39355CD0"/>
    <w:rsid w:val="39F3071B"/>
    <w:rsid w:val="3A3F0523"/>
    <w:rsid w:val="3A420739"/>
    <w:rsid w:val="3A8E4BFA"/>
    <w:rsid w:val="3AA14F18"/>
    <w:rsid w:val="3AC83148"/>
    <w:rsid w:val="3ACD52C4"/>
    <w:rsid w:val="3AE32BBB"/>
    <w:rsid w:val="3AFF06FD"/>
    <w:rsid w:val="3B023591"/>
    <w:rsid w:val="3B08070E"/>
    <w:rsid w:val="3B262D37"/>
    <w:rsid w:val="3B3655EB"/>
    <w:rsid w:val="3B563BA0"/>
    <w:rsid w:val="3B7C2756"/>
    <w:rsid w:val="3B8A3570"/>
    <w:rsid w:val="3BC04A46"/>
    <w:rsid w:val="3BC10FA1"/>
    <w:rsid w:val="3C0B6594"/>
    <w:rsid w:val="3C17173C"/>
    <w:rsid w:val="3C1E78F4"/>
    <w:rsid w:val="3C52221D"/>
    <w:rsid w:val="3C600FD7"/>
    <w:rsid w:val="3C7C5661"/>
    <w:rsid w:val="3CB13A45"/>
    <w:rsid w:val="3D054086"/>
    <w:rsid w:val="3D0D0F34"/>
    <w:rsid w:val="3D1F0FDC"/>
    <w:rsid w:val="3D734DCB"/>
    <w:rsid w:val="3D993286"/>
    <w:rsid w:val="3DCF1F2D"/>
    <w:rsid w:val="3DDE26D2"/>
    <w:rsid w:val="3DF56868"/>
    <w:rsid w:val="3DFB1498"/>
    <w:rsid w:val="3E2316DF"/>
    <w:rsid w:val="3E2D6C62"/>
    <w:rsid w:val="3E6C746A"/>
    <w:rsid w:val="3E864394"/>
    <w:rsid w:val="3EDA63D2"/>
    <w:rsid w:val="3EF45730"/>
    <w:rsid w:val="3F583017"/>
    <w:rsid w:val="3F63356E"/>
    <w:rsid w:val="3F7B6C5E"/>
    <w:rsid w:val="3FD34056"/>
    <w:rsid w:val="40051F4C"/>
    <w:rsid w:val="40733268"/>
    <w:rsid w:val="40794A7A"/>
    <w:rsid w:val="407E7F9D"/>
    <w:rsid w:val="408F6737"/>
    <w:rsid w:val="41117A56"/>
    <w:rsid w:val="41374494"/>
    <w:rsid w:val="414919AE"/>
    <w:rsid w:val="419A4571"/>
    <w:rsid w:val="41C413A8"/>
    <w:rsid w:val="41C96565"/>
    <w:rsid w:val="41FC02B0"/>
    <w:rsid w:val="42002E5F"/>
    <w:rsid w:val="420E5507"/>
    <w:rsid w:val="425901CA"/>
    <w:rsid w:val="42685DC8"/>
    <w:rsid w:val="42B47B6B"/>
    <w:rsid w:val="42ED3220"/>
    <w:rsid w:val="430B3249"/>
    <w:rsid w:val="43383355"/>
    <w:rsid w:val="43442FCE"/>
    <w:rsid w:val="4344562E"/>
    <w:rsid w:val="43587EEC"/>
    <w:rsid w:val="436B0094"/>
    <w:rsid w:val="43C72C09"/>
    <w:rsid w:val="43E2508C"/>
    <w:rsid w:val="441E006A"/>
    <w:rsid w:val="441F6072"/>
    <w:rsid w:val="44334420"/>
    <w:rsid w:val="44BC5086"/>
    <w:rsid w:val="44C75872"/>
    <w:rsid w:val="44D331A3"/>
    <w:rsid w:val="450F5202"/>
    <w:rsid w:val="455D700B"/>
    <w:rsid w:val="455E16CB"/>
    <w:rsid w:val="456D4822"/>
    <w:rsid w:val="458F0077"/>
    <w:rsid w:val="45CF25C8"/>
    <w:rsid w:val="45E54F67"/>
    <w:rsid w:val="45EF0E8C"/>
    <w:rsid w:val="462B206D"/>
    <w:rsid w:val="465243AB"/>
    <w:rsid w:val="46702F87"/>
    <w:rsid w:val="46A46978"/>
    <w:rsid w:val="4797392F"/>
    <w:rsid w:val="47BB2BE7"/>
    <w:rsid w:val="47CD3A67"/>
    <w:rsid w:val="482B6196"/>
    <w:rsid w:val="489A6650"/>
    <w:rsid w:val="48B17046"/>
    <w:rsid w:val="48F8333D"/>
    <w:rsid w:val="495318F5"/>
    <w:rsid w:val="496076AF"/>
    <w:rsid w:val="49DE78E2"/>
    <w:rsid w:val="49F13D27"/>
    <w:rsid w:val="4A701823"/>
    <w:rsid w:val="4AB0202D"/>
    <w:rsid w:val="4AE35C39"/>
    <w:rsid w:val="4B1A6ACE"/>
    <w:rsid w:val="4B1F6270"/>
    <w:rsid w:val="4B7229CD"/>
    <w:rsid w:val="4B89334A"/>
    <w:rsid w:val="4BA40ECA"/>
    <w:rsid w:val="4BC353B3"/>
    <w:rsid w:val="4C3940F6"/>
    <w:rsid w:val="4C496751"/>
    <w:rsid w:val="4C67730A"/>
    <w:rsid w:val="4C9109F9"/>
    <w:rsid w:val="4C9933FF"/>
    <w:rsid w:val="4CA078A5"/>
    <w:rsid w:val="4CB13067"/>
    <w:rsid w:val="4CCB7503"/>
    <w:rsid w:val="4CCD4669"/>
    <w:rsid w:val="4CDF2159"/>
    <w:rsid w:val="4CEF0241"/>
    <w:rsid w:val="4D0A781A"/>
    <w:rsid w:val="4D29151D"/>
    <w:rsid w:val="4D2C734B"/>
    <w:rsid w:val="4D924229"/>
    <w:rsid w:val="4DBD55AD"/>
    <w:rsid w:val="4DDE22E4"/>
    <w:rsid w:val="4E3B1BE5"/>
    <w:rsid w:val="4EA0659F"/>
    <w:rsid w:val="4EE6427B"/>
    <w:rsid w:val="4F443D0C"/>
    <w:rsid w:val="4F454646"/>
    <w:rsid w:val="4F52432D"/>
    <w:rsid w:val="4F817E9C"/>
    <w:rsid w:val="50554404"/>
    <w:rsid w:val="507E266B"/>
    <w:rsid w:val="514F7E73"/>
    <w:rsid w:val="51673EAC"/>
    <w:rsid w:val="5172589F"/>
    <w:rsid w:val="51C647BA"/>
    <w:rsid w:val="51C94913"/>
    <w:rsid w:val="51E01863"/>
    <w:rsid w:val="51E062C0"/>
    <w:rsid w:val="51E06672"/>
    <w:rsid w:val="51F93A32"/>
    <w:rsid w:val="51FF3160"/>
    <w:rsid w:val="52A318B7"/>
    <w:rsid w:val="52CB45C6"/>
    <w:rsid w:val="52D8660D"/>
    <w:rsid w:val="53133080"/>
    <w:rsid w:val="533B2BFA"/>
    <w:rsid w:val="536669C5"/>
    <w:rsid w:val="539F316A"/>
    <w:rsid w:val="53A2380B"/>
    <w:rsid w:val="53EB190B"/>
    <w:rsid w:val="542C3AE3"/>
    <w:rsid w:val="54564999"/>
    <w:rsid w:val="549D228F"/>
    <w:rsid w:val="54A95F76"/>
    <w:rsid w:val="54B36BB2"/>
    <w:rsid w:val="54BE4BB3"/>
    <w:rsid w:val="55440D73"/>
    <w:rsid w:val="55634D3C"/>
    <w:rsid w:val="556E2FFB"/>
    <w:rsid w:val="55751AB7"/>
    <w:rsid w:val="55A52E00"/>
    <w:rsid w:val="55C6410A"/>
    <w:rsid w:val="55FA0F14"/>
    <w:rsid w:val="564F3B95"/>
    <w:rsid w:val="565B305C"/>
    <w:rsid w:val="56946279"/>
    <w:rsid w:val="56A75CC9"/>
    <w:rsid w:val="56DA1B5A"/>
    <w:rsid w:val="56DE5AF4"/>
    <w:rsid w:val="57051810"/>
    <w:rsid w:val="5787646C"/>
    <w:rsid w:val="57885DDF"/>
    <w:rsid w:val="57BE4438"/>
    <w:rsid w:val="57D4733C"/>
    <w:rsid w:val="5921027A"/>
    <w:rsid w:val="593061F0"/>
    <w:rsid w:val="595A66CE"/>
    <w:rsid w:val="5971506E"/>
    <w:rsid w:val="5976434F"/>
    <w:rsid w:val="59785A0A"/>
    <w:rsid w:val="597B1474"/>
    <w:rsid w:val="59835883"/>
    <w:rsid w:val="59A46458"/>
    <w:rsid w:val="59F672B1"/>
    <w:rsid w:val="5A807374"/>
    <w:rsid w:val="5AAA547C"/>
    <w:rsid w:val="5AAB3CF2"/>
    <w:rsid w:val="5AE82AAA"/>
    <w:rsid w:val="5AF44A33"/>
    <w:rsid w:val="5B330A9F"/>
    <w:rsid w:val="5B4729B5"/>
    <w:rsid w:val="5B4B67A9"/>
    <w:rsid w:val="5B622326"/>
    <w:rsid w:val="5B7205F9"/>
    <w:rsid w:val="5B7E75FE"/>
    <w:rsid w:val="5B9C323E"/>
    <w:rsid w:val="5BCA1830"/>
    <w:rsid w:val="5BD84D91"/>
    <w:rsid w:val="5BF240E4"/>
    <w:rsid w:val="5C483E4B"/>
    <w:rsid w:val="5C4C1B8F"/>
    <w:rsid w:val="5C806EB1"/>
    <w:rsid w:val="5C854979"/>
    <w:rsid w:val="5CA67571"/>
    <w:rsid w:val="5CDF5879"/>
    <w:rsid w:val="5CE34E13"/>
    <w:rsid w:val="5D246B05"/>
    <w:rsid w:val="5D441AE0"/>
    <w:rsid w:val="5D64611C"/>
    <w:rsid w:val="5D6A02B2"/>
    <w:rsid w:val="5DCA09FB"/>
    <w:rsid w:val="5DFB1300"/>
    <w:rsid w:val="5E1E54E0"/>
    <w:rsid w:val="5E4524AC"/>
    <w:rsid w:val="5F0B1B3F"/>
    <w:rsid w:val="5F27595B"/>
    <w:rsid w:val="5F441ECC"/>
    <w:rsid w:val="5F507206"/>
    <w:rsid w:val="5F7C6A5B"/>
    <w:rsid w:val="5F9F1B48"/>
    <w:rsid w:val="5FD36299"/>
    <w:rsid w:val="600151C5"/>
    <w:rsid w:val="603631B3"/>
    <w:rsid w:val="60C01916"/>
    <w:rsid w:val="60D56575"/>
    <w:rsid w:val="60F36F10"/>
    <w:rsid w:val="61594A8A"/>
    <w:rsid w:val="6170186B"/>
    <w:rsid w:val="619A45AD"/>
    <w:rsid w:val="619E4A20"/>
    <w:rsid w:val="61EF08BA"/>
    <w:rsid w:val="620F201E"/>
    <w:rsid w:val="621F63D9"/>
    <w:rsid w:val="622F3820"/>
    <w:rsid w:val="62506108"/>
    <w:rsid w:val="62625B7F"/>
    <w:rsid w:val="62672FC3"/>
    <w:rsid w:val="62790A28"/>
    <w:rsid w:val="62994461"/>
    <w:rsid w:val="62BD1731"/>
    <w:rsid w:val="62C7243C"/>
    <w:rsid w:val="63437B25"/>
    <w:rsid w:val="63501841"/>
    <w:rsid w:val="63651972"/>
    <w:rsid w:val="63785E05"/>
    <w:rsid w:val="638602A4"/>
    <w:rsid w:val="639A6560"/>
    <w:rsid w:val="639B5BC1"/>
    <w:rsid w:val="63A22EE1"/>
    <w:rsid w:val="63A96E7A"/>
    <w:rsid w:val="63C53FFF"/>
    <w:rsid w:val="645D6CD8"/>
    <w:rsid w:val="648E36A6"/>
    <w:rsid w:val="649F6101"/>
    <w:rsid w:val="64BA7B74"/>
    <w:rsid w:val="64BC481F"/>
    <w:rsid w:val="65075ECC"/>
    <w:rsid w:val="650E382B"/>
    <w:rsid w:val="651E4F77"/>
    <w:rsid w:val="654F6B38"/>
    <w:rsid w:val="658333B0"/>
    <w:rsid w:val="65A849EC"/>
    <w:rsid w:val="663061D5"/>
    <w:rsid w:val="664C0EA5"/>
    <w:rsid w:val="6650276C"/>
    <w:rsid w:val="667E408E"/>
    <w:rsid w:val="668514DE"/>
    <w:rsid w:val="668925FE"/>
    <w:rsid w:val="66A72E85"/>
    <w:rsid w:val="66AB48E9"/>
    <w:rsid w:val="66E81700"/>
    <w:rsid w:val="66F106DA"/>
    <w:rsid w:val="67014C2C"/>
    <w:rsid w:val="675043EF"/>
    <w:rsid w:val="6758711A"/>
    <w:rsid w:val="676276EF"/>
    <w:rsid w:val="678E04DD"/>
    <w:rsid w:val="679D15D1"/>
    <w:rsid w:val="67D84308"/>
    <w:rsid w:val="67E26CA1"/>
    <w:rsid w:val="67EF50E5"/>
    <w:rsid w:val="6819784C"/>
    <w:rsid w:val="685120D7"/>
    <w:rsid w:val="685E3E47"/>
    <w:rsid w:val="6876063F"/>
    <w:rsid w:val="688566CF"/>
    <w:rsid w:val="68E0543D"/>
    <w:rsid w:val="694D0317"/>
    <w:rsid w:val="698108A6"/>
    <w:rsid w:val="69871973"/>
    <w:rsid w:val="699C3E2F"/>
    <w:rsid w:val="69BB3AF4"/>
    <w:rsid w:val="69C24E30"/>
    <w:rsid w:val="69CA5A8A"/>
    <w:rsid w:val="6A284FED"/>
    <w:rsid w:val="6A2868B1"/>
    <w:rsid w:val="6A682C67"/>
    <w:rsid w:val="6AA804A1"/>
    <w:rsid w:val="6ADE089F"/>
    <w:rsid w:val="6AE2045B"/>
    <w:rsid w:val="6B07526F"/>
    <w:rsid w:val="6B2A2B62"/>
    <w:rsid w:val="6B6B2CC5"/>
    <w:rsid w:val="6B80252D"/>
    <w:rsid w:val="6BBD7F16"/>
    <w:rsid w:val="6BBF5BE2"/>
    <w:rsid w:val="6C0A156C"/>
    <w:rsid w:val="6CC841D2"/>
    <w:rsid w:val="6CEF2DBA"/>
    <w:rsid w:val="6D1E0EE2"/>
    <w:rsid w:val="6D31234C"/>
    <w:rsid w:val="6D3126C4"/>
    <w:rsid w:val="6D3E6EE4"/>
    <w:rsid w:val="6D411316"/>
    <w:rsid w:val="6D7339FC"/>
    <w:rsid w:val="6DDE7EBB"/>
    <w:rsid w:val="6DF8372B"/>
    <w:rsid w:val="6E0B6BF5"/>
    <w:rsid w:val="6E1B22EA"/>
    <w:rsid w:val="6E212AC5"/>
    <w:rsid w:val="6E53034E"/>
    <w:rsid w:val="6E5A2C57"/>
    <w:rsid w:val="6E5C03B9"/>
    <w:rsid w:val="6E784F66"/>
    <w:rsid w:val="6EA83BEF"/>
    <w:rsid w:val="6F386426"/>
    <w:rsid w:val="6F3E5F64"/>
    <w:rsid w:val="6F473B90"/>
    <w:rsid w:val="6F4D30A9"/>
    <w:rsid w:val="6F690A61"/>
    <w:rsid w:val="6F8372D1"/>
    <w:rsid w:val="6FC31A68"/>
    <w:rsid w:val="701D6253"/>
    <w:rsid w:val="708461DC"/>
    <w:rsid w:val="712A7170"/>
    <w:rsid w:val="71397CFA"/>
    <w:rsid w:val="714219FC"/>
    <w:rsid w:val="71482E93"/>
    <w:rsid w:val="71836C04"/>
    <w:rsid w:val="71BC2668"/>
    <w:rsid w:val="72036EA2"/>
    <w:rsid w:val="72435763"/>
    <w:rsid w:val="72526088"/>
    <w:rsid w:val="726D764C"/>
    <w:rsid w:val="7276499B"/>
    <w:rsid w:val="73377D43"/>
    <w:rsid w:val="736558D4"/>
    <w:rsid w:val="736E0A0E"/>
    <w:rsid w:val="737231E3"/>
    <w:rsid w:val="73865A20"/>
    <w:rsid w:val="73957664"/>
    <w:rsid w:val="73C07233"/>
    <w:rsid w:val="73ED0B04"/>
    <w:rsid w:val="73ED0D4E"/>
    <w:rsid w:val="74706BC8"/>
    <w:rsid w:val="74E45E0D"/>
    <w:rsid w:val="750701AD"/>
    <w:rsid w:val="7535231F"/>
    <w:rsid w:val="75360B53"/>
    <w:rsid w:val="7542631B"/>
    <w:rsid w:val="754451AE"/>
    <w:rsid w:val="75591EA6"/>
    <w:rsid w:val="75955AC7"/>
    <w:rsid w:val="75BE05B9"/>
    <w:rsid w:val="7624049B"/>
    <w:rsid w:val="7634364A"/>
    <w:rsid w:val="76461FDF"/>
    <w:rsid w:val="765018AA"/>
    <w:rsid w:val="76581670"/>
    <w:rsid w:val="76833A43"/>
    <w:rsid w:val="768C4C58"/>
    <w:rsid w:val="76C058CB"/>
    <w:rsid w:val="77093A03"/>
    <w:rsid w:val="77654335"/>
    <w:rsid w:val="778D683D"/>
    <w:rsid w:val="77953A20"/>
    <w:rsid w:val="78045337"/>
    <w:rsid w:val="783B206E"/>
    <w:rsid w:val="7881421A"/>
    <w:rsid w:val="788469C3"/>
    <w:rsid w:val="78C266A0"/>
    <w:rsid w:val="79125359"/>
    <w:rsid w:val="794A50AB"/>
    <w:rsid w:val="79572ADC"/>
    <w:rsid w:val="795A7D17"/>
    <w:rsid w:val="798207A7"/>
    <w:rsid w:val="79B7320F"/>
    <w:rsid w:val="79E57BB9"/>
    <w:rsid w:val="7A324A6D"/>
    <w:rsid w:val="7A736EE5"/>
    <w:rsid w:val="7A8E52A9"/>
    <w:rsid w:val="7AA921BF"/>
    <w:rsid w:val="7ABF287C"/>
    <w:rsid w:val="7AF51A58"/>
    <w:rsid w:val="7B092828"/>
    <w:rsid w:val="7B6A0FD0"/>
    <w:rsid w:val="7B8340EF"/>
    <w:rsid w:val="7B8B6A8B"/>
    <w:rsid w:val="7B941935"/>
    <w:rsid w:val="7B97670C"/>
    <w:rsid w:val="7BBC7A1C"/>
    <w:rsid w:val="7BE12CDE"/>
    <w:rsid w:val="7BE87D45"/>
    <w:rsid w:val="7BEB7F5F"/>
    <w:rsid w:val="7BFE2AF4"/>
    <w:rsid w:val="7C01408D"/>
    <w:rsid w:val="7C2D352E"/>
    <w:rsid w:val="7C4110D1"/>
    <w:rsid w:val="7C447BA8"/>
    <w:rsid w:val="7C8E06E2"/>
    <w:rsid w:val="7CCB3C75"/>
    <w:rsid w:val="7CD02B5B"/>
    <w:rsid w:val="7CF90A2E"/>
    <w:rsid w:val="7D2E1F60"/>
    <w:rsid w:val="7D306233"/>
    <w:rsid w:val="7D465012"/>
    <w:rsid w:val="7E390947"/>
    <w:rsid w:val="7E6310A5"/>
    <w:rsid w:val="7E827CE3"/>
    <w:rsid w:val="7E953AE1"/>
    <w:rsid w:val="7F6C0795"/>
    <w:rsid w:val="7F7F1DF3"/>
    <w:rsid w:val="7F9D07C6"/>
    <w:rsid w:val="7FD51D6B"/>
    <w:rsid w:val="7FE356A2"/>
    <w:rsid w:val="7F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ssh2015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ldk1</cp:lastModifiedBy>
  <cp:revision>17</cp:revision>
  <cp:lastPrinted>2017-03-20T06:23:00Z</cp:lastPrinted>
  <dcterms:created xsi:type="dcterms:W3CDTF">2014-10-29T12:08:00Z</dcterms:created>
  <dcterms:modified xsi:type="dcterms:W3CDTF">2017-03-20T07:11:00Z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